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4BE" w:rsidRDefault="0053145B">
      <w:r w:rsidRPr="0053145B">
        <w:drawing>
          <wp:inline distT="0" distB="0" distL="0" distR="0">
            <wp:extent cx="9363490" cy="6535972"/>
            <wp:effectExtent l="19050" t="0" r="2816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0814BE" w:rsidSect="00726F96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53145B"/>
    <w:rsid w:val="000814BE"/>
    <w:rsid w:val="00186041"/>
    <w:rsid w:val="0053145B"/>
    <w:rsid w:val="005748D7"/>
    <w:rsid w:val="005D6B20"/>
    <w:rsid w:val="00603747"/>
    <w:rsid w:val="006620D3"/>
    <w:rsid w:val="0068606B"/>
    <w:rsid w:val="006A2F10"/>
    <w:rsid w:val="006E7112"/>
    <w:rsid w:val="00726F96"/>
    <w:rsid w:val="009C2DCF"/>
    <w:rsid w:val="00D634F6"/>
    <w:rsid w:val="00DC6E28"/>
    <w:rsid w:val="00F86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6B"/>
    <w:pPr>
      <w:spacing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14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9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Data\Excell\MLP_13031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fi-FI"/>
  <c:chart>
    <c:plotArea>
      <c:layout>
        <c:manualLayout>
          <c:layoutTarget val="inner"/>
          <c:xMode val="edge"/>
          <c:yMode val="edge"/>
          <c:x val="4.3010183388371294E-2"/>
          <c:y val="2.5316493225414332E-2"/>
          <c:w val="0.94843448334566027"/>
          <c:h val="0.95355068668241305"/>
        </c:manualLayout>
      </c:layout>
      <c:lineChart>
        <c:grouping val="standard"/>
        <c:ser>
          <c:idx val="0"/>
          <c:order val="0"/>
          <c:tx>
            <c:v>Tulo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val>
            <c:numRef>
              <c:f>Data!$AF$73:$AF$130</c:f>
              <c:numCache>
                <c:formatCode>0.0</c:formatCode>
                <c:ptCount val="58"/>
                <c:pt idx="0">
                  <c:v>2.6</c:v>
                </c:pt>
                <c:pt idx="1">
                  <c:v>3.5</c:v>
                </c:pt>
                <c:pt idx="2">
                  <c:v>3.7</c:v>
                </c:pt>
                <c:pt idx="3">
                  <c:v>4</c:v>
                </c:pt>
                <c:pt idx="4">
                  <c:v>4.3</c:v>
                </c:pt>
                <c:pt idx="5">
                  <c:v>4.4000000000000004</c:v>
                </c:pt>
                <c:pt idx="6">
                  <c:v>4.4000000000000004</c:v>
                </c:pt>
                <c:pt idx="7">
                  <c:v>4.5</c:v>
                </c:pt>
                <c:pt idx="8">
                  <c:v>4.5999999999999996</c:v>
                </c:pt>
                <c:pt idx="9">
                  <c:v>4.7</c:v>
                </c:pt>
                <c:pt idx="10">
                  <c:v>4.5999999999999996</c:v>
                </c:pt>
                <c:pt idx="11">
                  <c:v>4.5999999999999996</c:v>
                </c:pt>
                <c:pt idx="12">
                  <c:v>4.5999999999999996</c:v>
                </c:pt>
                <c:pt idx="13">
                  <c:v>4.5999999999999996</c:v>
                </c:pt>
                <c:pt idx="14">
                  <c:v>4.4000000000000004</c:v>
                </c:pt>
                <c:pt idx="15">
                  <c:v>4.3</c:v>
                </c:pt>
                <c:pt idx="16">
                  <c:v>4.3</c:v>
                </c:pt>
                <c:pt idx="17">
                  <c:v>4.4000000000000004</c:v>
                </c:pt>
                <c:pt idx="18">
                  <c:v>4.2</c:v>
                </c:pt>
                <c:pt idx="19">
                  <c:v>4</c:v>
                </c:pt>
                <c:pt idx="20">
                  <c:v>3.8</c:v>
                </c:pt>
                <c:pt idx="21">
                  <c:v>3.7</c:v>
                </c:pt>
                <c:pt idx="22">
                  <c:v>3.6</c:v>
                </c:pt>
                <c:pt idx="23">
                  <c:v>3.5</c:v>
                </c:pt>
                <c:pt idx="24">
                  <c:v>3.5</c:v>
                </c:pt>
                <c:pt idx="25">
                  <c:v>3.4</c:v>
                </c:pt>
                <c:pt idx="26">
                  <c:v>3.4</c:v>
                </c:pt>
                <c:pt idx="27">
                  <c:v>3.4</c:v>
                </c:pt>
                <c:pt idx="28">
                  <c:v>3.4</c:v>
                </c:pt>
                <c:pt idx="29">
                  <c:v>3.4</c:v>
                </c:pt>
                <c:pt idx="30">
                  <c:v>3.3</c:v>
                </c:pt>
                <c:pt idx="31">
                  <c:v>3.3</c:v>
                </c:pt>
                <c:pt idx="32">
                  <c:v>3.2</c:v>
                </c:pt>
                <c:pt idx="33">
                  <c:v>3.3</c:v>
                </c:pt>
                <c:pt idx="34">
                  <c:v>3.2</c:v>
                </c:pt>
                <c:pt idx="35">
                  <c:v>3.2</c:v>
                </c:pt>
                <c:pt idx="36">
                  <c:v>3.2</c:v>
                </c:pt>
                <c:pt idx="37">
                  <c:v>3</c:v>
                </c:pt>
                <c:pt idx="38">
                  <c:v>3.1</c:v>
                </c:pt>
                <c:pt idx="39">
                  <c:v>3</c:v>
                </c:pt>
                <c:pt idx="40">
                  <c:v>3</c:v>
                </c:pt>
                <c:pt idx="41">
                  <c:v>3</c:v>
                </c:pt>
                <c:pt idx="42">
                  <c:v>3</c:v>
                </c:pt>
                <c:pt idx="43">
                  <c:v>3</c:v>
                </c:pt>
                <c:pt idx="44">
                  <c:v>2.9</c:v>
                </c:pt>
                <c:pt idx="45">
                  <c:v>2.9</c:v>
                </c:pt>
                <c:pt idx="46">
                  <c:v>2.9</c:v>
                </c:pt>
                <c:pt idx="47">
                  <c:v>2.8</c:v>
                </c:pt>
                <c:pt idx="48">
                  <c:v>3</c:v>
                </c:pt>
                <c:pt idx="49">
                  <c:v>3.4</c:v>
                </c:pt>
                <c:pt idx="50">
                  <c:v>3.7</c:v>
                </c:pt>
                <c:pt idx="51">
                  <c:v>3.8</c:v>
                </c:pt>
                <c:pt idx="52">
                  <c:v>4</c:v>
                </c:pt>
                <c:pt idx="53">
                  <c:v>4.0999999999999996</c:v>
                </c:pt>
                <c:pt idx="54">
                  <c:v>4.0999999999999996</c:v>
                </c:pt>
                <c:pt idx="55">
                  <c:v>4.3</c:v>
                </c:pt>
                <c:pt idx="56">
                  <c:v>4.4000000000000004</c:v>
                </c:pt>
                <c:pt idx="57">
                  <c:v>4.4000000000000004</c:v>
                </c:pt>
              </c:numCache>
            </c:numRef>
          </c:val>
        </c:ser>
        <c:ser>
          <c:idx val="1"/>
          <c:order val="1"/>
          <c:tx>
            <c:v>Paluu</c:v>
          </c:tx>
          <c:spPr>
            <a:ln>
              <a:solidFill>
                <a:srgbClr val="00B0F0"/>
              </a:solidFill>
            </a:ln>
          </c:spPr>
          <c:marker>
            <c:symbol val="none"/>
          </c:marker>
          <c:val>
            <c:numRef>
              <c:f>Data!$AG$73:$AG$130</c:f>
              <c:numCache>
                <c:formatCode>0.0</c:formatCode>
                <c:ptCount val="58"/>
                <c:pt idx="0">
                  <c:v>6.3</c:v>
                </c:pt>
                <c:pt idx="1">
                  <c:v>1.4</c:v>
                </c:pt>
                <c:pt idx="2">
                  <c:v>0</c:v>
                </c:pt>
                <c:pt idx="3">
                  <c:v>-0.1</c:v>
                </c:pt>
                <c:pt idx="4">
                  <c:v>0</c:v>
                </c:pt>
                <c:pt idx="5">
                  <c:v>0.2</c:v>
                </c:pt>
                <c:pt idx="6">
                  <c:v>0.30000000000000004</c:v>
                </c:pt>
                <c:pt idx="7">
                  <c:v>0.5</c:v>
                </c:pt>
                <c:pt idx="8">
                  <c:v>0.60000000000000009</c:v>
                </c:pt>
                <c:pt idx="9">
                  <c:v>0.8</c:v>
                </c:pt>
                <c:pt idx="10">
                  <c:v>0.70000000000000007</c:v>
                </c:pt>
                <c:pt idx="11">
                  <c:v>0.8</c:v>
                </c:pt>
                <c:pt idx="12">
                  <c:v>0.8</c:v>
                </c:pt>
                <c:pt idx="13">
                  <c:v>0.8</c:v>
                </c:pt>
                <c:pt idx="14">
                  <c:v>0.8</c:v>
                </c:pt>
                <c:pt idx="15">
                  <c:v>0.70000000000000007</c:v>
                </c:pt>
                <c:pt idx="16">
                  <c:v>0.70000000000000007</c:v>
                </c:pt>
                <c:pt idx="17">
                  <c:v>0.70000000000000007</c:v>
                </c:pt>
                <c:pt idx="18">
                  <c:v>0.70000000000000007</c:v>
                </c:pt>
                <c:pt idx="19">
                  <c:v>0.60000000000000009</c:v>
                </c:pt>
                <c:pt idx="20">
                  <c:v>0.4</c:v>
                </c:pt>
                <c:pt idx="21">
                  <c:v>0.30000000000000004</c:v>
                </c:pt>
                <c:pt idx="22">
                  <c:v>0.2</c:v>
                </c:pt>
                <c:pt idx="23">
                  <c:v>0.1</c:v>
                </c:pt>
                <c:pt idx="24">
                  <c:v>0.1</c:v>
                </c:pt>
                <c:pt idx="25">
                  <c:v>0.1</c:v>
                </c:pt>
                <c:pt idx="26">
                  <c:v>0.1</c:v>
                </c:pt>
                <c:pt idx="27">
                  <c:v>0.1</c:v>
                </c:pt>
                <c:pt idx="28">
                  <c:v>0.1</c:v>
                </c:pt>
                <c:pt idx="29">
                  <c:v>0.1</c:v>
                </c:pt>
                <c:pt idx="30">
                  <c:v>0.2</c:v>
                </c:pt>
                <c:pt idx="31">
                  <c:v>0.1</c:v>
                </c:pt>
                <c:pt idx="32">
                  <c:v>0.2</c:v>
                </c:pt>
                <c:pt idx="33">
                  <c:v>0.1</c:v>
                </c:pt>
                <c:pt idx="34">
                  <c:v>0.1</c:v>
                </c:pt>
                <c:pt idx="35">
                  <c:v>0.2</c:v>
                </c:pt>
                <c:pt idx="36">
                  <c:v>0.1</c:v>
                </c:pt>
                <c:pt idx="37">
                  <c:v>0.2</c:v>
                </c:pt>
                <c:pt idx="38">
                  <c:v>0.2</c:v>
                </c:pt>
                <c:pt idx="39">
                  <c:v>0.1</c:v>
                </c:pt>
                <c:pt idx="40">
                  <c:v>0.1</c:v>
                </c:pt>
                <c:pt idx="41">
                  <c:v>0.1</c:v>
                </c:pt>
                <c:pt idx="42">
                  <c:v>0.1</c:v>
                </c:pt>
                <c:pt idx="43">
                  <c:v>0.1</c:v>
                </c:pt>
                <c:pt idx="44">
                  <c:v>0.1</c:v>
                </c:pt>
                <c:pt idx="45">
                  <c:v>0.1</c:v>
                </c:pt>
                <c:pt idx="46">
                  <c:v>0.1</c:v>
                </c:pt>
                <c:pt idx="47">
                  <c:v>0.2</c:v>
                </c:pt>
                <c:pt idx="48">
                  <c:v>1.8</c:v>
                </c:pt>
                <c:pt idx="49">
                  <c:v>3.2</c:v>
                </c:pt>
                <c:pt idx="50">
                  <c:v>4.0999999999999996</c:v>
                </c:pt>
                <c:pt idx="51">
                  <c:v>5</c:v>
                </c:pt>
                <c:pt idx="52">
                  <c:v>5.9</c:v>
                </c:pt>
                <c:pt idx="53">
                  <c:v>6.8</c:v>
                </c:pt>
                <c:pt idx="54">
                  <c:v>7.5</c:v>
                </c:pt>
                <c:pt idx="55">
                  <c:v>7.9</c:v>
                </c:pt>
                <c:pt idx="56">
                  <c:v>8.1</c:v>
                </c:pt>
                <c:pt idx="57">
                  <c:v>8.1</c:v>
                </c:pt>
              </c:numCache>
            </c:numRef>
          </c:val>
        </c:ser>
        <c:ser>
          <c:idx val="2"/>
          <c:order val="2"/>
          <c:tx>
            <c:v>Ero</c:v>
          </c:tx>
          <c:spPr>
            <a:ln w="22225">
              <a:solidFill>
                <a:schemeClr val="tx1"/>
              </a:solidFill>
              <a:prstDash val="sysDash"/>
            </a:ln>
          </c:spPr>
          <c:marker>
            <c:symbol val="none"/>
          </c:marker>
          <c:val>
            <c:numRef>
              <c:f>Data!$AP$73:$AP$122</c:f>
              <c:numCache>
                <c:formatCode>0.0</c:formatCode>
                <c:ptCount val="50"/>
                <c:pt idx="0">
                  <c:v>0</c:v>
                </c:pt>
                <c:pt idx="1">
                  <c:v>0</c:v>
                </c:pt>
                <c:pt idx="2">
                  <c:v>3.7</c:v>
                </c:pt>
                <c:pt idx="3">
                  <c:v>4.0999999999999996</c:v>
                </c:pt>
                <c:pt idx="4">
                  <c:v>4.3</c:v>
                </c:pt>
                <c:pt idx="5">
                  <c:v>4.2</c:v>
                </c:pt>
                <c:pt idx="6">
                  <c:v>4.1000000000000005</c:v>
                </c:pt>
                <c:pt idx="7">
                  <c:v>4</c:v>
                </c:pt>
                <c:pt idx="8">
                  <c:v>3.9999999999999991</c:v>
                </c:pt>
                <c:pt idx="9">
                  <c:v>3.9000000000000004</c:v>
                </c:pt>
                <c:pt idx="10">
                  <c:v>3.899999999999999</c:v>
                </c:pt>
                <c:pt idx="11">
                  <c:v>3.8</c:v>
                </c:pt>
                <c:pt idx="12">
                  <c:v>3.8</c:v>
                </c:pt>
                <c:pt idx="13">
                  <c:v>3.8</c:v>
                </c:pt>
                <c:pt idx="14">
                  <c:v>3.6000000000000005</c:v>
                </c:pt>
                <c:pt idx="15">
                  <c:v>3.5999999999999992</c:v>
                </c:pt>
                <c:pt idx="16">
                  <c:v>3.5999999999999992</c:v>
                </c:pt>
                <c:pt idx="17">
                  <c:v>3.7</c:v>
                </c:pt>
                <c:pt idx="18">
                  <c:v>3.5</c:v>
                </c:pt>
                <c:pt idx="19">
                  <c:v>3.4</c:v>
                </c:pt>
                <c:pt idx="20">
                  <c:v>3.4</c:v>
                </c:pt>
                <c:pt idx="21">
                  <c:v>3.4000000000000004</c:v>
                </c:pt>
                <c:pt idx="22">
                  <c:v>3.4</c:v>
                </c:pt>
                <c:pt idx="23">
                  <c:v>3.4</c:v>
                </c:pt>
                <c:pt idx="24">
                  <c:v>3.4</c:v>
                </c:pt>
                <c:pt idx="25">
                  <c:v>3.3</c:v>
                </c:pt>
                <c:pt idx="26">
                  <c:v>3.3</c:v>
                </c:pt>
                <c:pt idx="27">
                  <c:v>3.3</c:v>
                </c:pt>
                <c:pt idx="28">
                  <c:v>3.3</c:v>
                </c:pt>
                <c:pt idx="29">
                  <c:v>3.3</c:v>
                </c:pt>
                <c:pt idx="30">
                  <c:v>3.0999999999999992</c:v>
                </c:pt>
                <c:pt idx="31">
                  <c:v>3.1999999999999997</c:v>
                </c:pt>
                <c:pt idx="32">
                  <c:v>3</c:v>
                </c:pt>
                <c:pt idx="33">
                  <c:v>3.1999999999999997</c:v>
                </c:pt>
                <c:pt idx="34">
                  <c:v>3.1</c:v>
                </c:pt>
                <c:pt idx="35">
                  <c:v>3</c:v>
                </c:pt>
                <c:pt idx="36">
                  <c:v>3.1</c:v>
                </c:pt>
                <c:pt idx="37">
                  <c:v>2.8</c:v>
                </c:pt>
                <c:pt idx="38">
                  <c:v>2.9</c:v>
                </c:pt>
                <c:pt idx="39">
                  <c:v>2.9</c:v>
                </c:pt>
                <c:pt idx="40">
                  <c:v>2.9</c:v>
                </c:pt>
                <c:pt idx="41">
                  <c:v>2.9</c:v>
                </c:pt>
                <c:pt idx="42">
                  <c:v>2.9</c:v>
                </c:pt>
                <c:pt idx="43">
                  <c:v>2.9</c:v>
                </c:pt>
                <c:pt idx="44">
                  <c:v>2.8</c:v>
                </c:pt>
                <c:pt idx="45">
                  <c:v>2.8</c:v>
                </c:pt>
                <c:pt idx="46">
                  <c:v>2.8</c:v>
                </c:pt>
                <c:pt idx="47">
                  <c:v>2.5999999999999992</c:v>
                </c:pt>
                <c:pt idx="48">
                  <c:v>0</c:v>
                </c:pt>
                <c:pt idx="49">
                  <c:v>0</c:v>
                </c:pt>
              </c:numCache>
            </c:numRef>
          </c:val>
        </c:ser>
        <c:marker val="1"/>
        <c:axId val="96979968"/>
        <c:axId val="97030912"/>
      </c:lineChart>
      <c:catAx>
        <c:axId val="96979968"/>
        <c:scaling>
          <c:orientation val="minMax"/>
        </c:scaling>
        <c:axPos val="b"/>
        <c:tickLblPos val="nextTo"/>
        <c:txPr>
          <a:bodyPr rot="-5400000" vert="horz"/>
          <a:lstStyle/>
          <a:p>
            <a:pPr>
              <a:defRPr/>
            </a:pPr>
            <a:endParaRPr lang="fi-FI"/>
          </a:p>
        </c:txPr>
        <c:crossAx val="97030912"/>
        <c:crosses val="autoZero"/>
        <c:auto val="1"/>
        <c:lblAlgn val="ctr"/>
        <c:lblOffset val="100"/>
        <c:tickMarkSkip val="2"/>
      </c:catAx>
      <c:valAx>
        <c:axId val="97030912"/>
        <c:scaling>
          <c:orientation val="minMax"/>
          <c:max val="6"/>
        </c:scaling>
        <c:axPos val="l"/>
        <c:majorGridlines/>
        <c:numFmt formatCode="0.0" sourceLinked="1"/>
        <c:tickLblPos val="nextTo"/>
        <c:crossAx val="969799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3918478855841301"/>
          <c:y val="0.57513267514601651"/>
          <c:w val="0.18818636205440084"/>
          <c:h val="0.11347949835453162"/>
        </c:manualLayout>
      </c:layout>
    </c:legend>
    <c:plotVisOnly val="1"/>
  </c:chart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0.29051</cdr:x>
      <cdr:y>0.04009</cdr:y>
    </cdr:from>
    <cdr:to>
      <cdr:x>0.86086</cdr:x>
      <cdr:y>0.25852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777944" y="160298"/>
          <a:ext cx="3490623" cy="8733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fi-FI" sz="1050">
              <a:latin typeface="+mj-lt"/>
            </a:rPr>
            <a:t>NIBE 1245-8	2013-03-12	Turku</a:t>
          </a:r>
        </a:p>
        <a:p xmlns:a="http://schemas.openxmlformats.org/drawingml/2006/main">
          <a:r>
            <a:rPr lang="fi-FI" sz="1050">
              <a:latin typeface="+mj-lt"/>
            </a:rPr>
            <a:t>Lämmönkeruun lämpötilat yhden käyntijakson aikana. </a:t>
          </a:r>
          <a:br>
            <a:rPr lang="fi-FI" sz="1050">
              <a:latin typeface="+mj-lt"/>
            </a:rPr>
          </a:br>
          <a:r>
            <a:rPr lang="fi-FI" sz="1050">
              <a:latin typeface="+mj-lt"/>
            </a:rPr>
            <a:t>Ulkolämpötila n. -12°C, käyntijakso 48 min. (lämmitys)</a:t>
          </a:r>
          <a:br>
            <a:rPr lang="fi-FI" sz="1050">
              <a:latin typeface="+mj-lt"/>
            </a:rPr>
          </a:br>
          <a:r>
            <a:rPr lang="fi-FI" sz="1050">
              <a:latin typeface="+mj-lt"/>
            </a:rPr>
            <a:t>Kaivo 180 m, patterilämmitys+lattia, 250 m²</a:t>
          </a:r>
          <a:r>
            <a:rPr lang="fi-FI" sz="1100">
              <a:latin typeface="+mj-lt"/>
            </a:rPr>
            <a:t/>
          </a:r>
          <a:br>
            <a:rPr lang="fi-FI" sz="1100">
              <a:latin typeface="+mj-lt"/>
            </a:rPr>
          </a:br>
          <a:endParaRPr lang="fi-FI" sz="1100">
            <a:latin typeface="+mj-lt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joka</dc:creator>
  <cp:lastModifiedBy>joka</cp:lastModifiedBy>
  <cp:revision>1</cp:revision>
  <dcterms:created xsi:type="dcterms:W3CDTF">2013-03-14T18:32:00Z</dcterms:created>
  <dcterms:modified xsi:type="dcterms:W3CDTF">2013-03-14T19:33:00Z</dcterms:modified>
</cp:coreProperties>
</file>