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rawings/drawing1.xml" ContentType="application/vnd.openxmlformats-officedocument.drawingml.chartshap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298" w:rsidRDefault="00A14A9C">
      <w:r w:rsidRPr="00A14A9C">
        <w:drawing>
          <wp:inline distT="0" distB="0" distL="0" distR="0">
            <wp:extent cx="9460442" cy="6183517"/>
            <wp:effectExtent l="19050" t="0" r="26458" b="7733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sectPr w:rsidR="00802298" w:rsidSect="00A14A9C">
      <w:pgSz w:w="16838" w:h="11906" w:orient="landscape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1304"/>
  <w:hyphenationZone w:val="425"/>
  <w:drawingGridHorizontalSpacing w:val="120"/>
  <w:displayHorizontalDrawingGridEvery w:val="2"/>
  <w:characterSpacingControl w:val="doNotCompress"/>
  <w:compat/>
  <w:rsids>
    <w:rsidRoot w:val="00A14A9C"/>
    <w:rsid w:val="00186041"/>
    <w:rsid w:val="0039046C"/>
    <w:rsid w:val="004405D3"/>
    <w:rsid w:val="005D6B20"/>
    <w:rsid w:val="00603747"/>
    <w:rsid w:val="006620D3"/>
    <w:rsid w:val="0068606B"/>
    <w:rsid w:val="006A2F10"/>
    <w:rsid w:val="006D6B2E"/>
    <w:rsid w:val="006E7112"/>
    <w:rsid w:val="007030CF"/>
    <w:rsid w:val="009C2DCF"/>
    <w:rsid w:val="00A14A9C"/>
    <w:rsid w:val="00C3378A"/>
    <w:rsid w:val="00D634F6"/>
    <w:rsid w:val="00DC6E28"/>
    <w:rsid w:val="00F86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B2E"/>
    <w:pPr>
      <w:spacing w:line="240" w:lineRule="auto"/>
    </w:pPr>
    <w:rPr>
      <w:rFonts w:asciiTheme="majorHAnsi" w:hAnsiTheme="majorHAnsi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4A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A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D:\Data\Excell\MLP_131126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fi-FI"/>
  <c:chart>
    <c:plotArea>
      <c:layout>
        <c:manualLayout>
          <c:layoutTarget val="inner"/>
          <c:xMode val="edge"/>
          <c:yMode val="edge"/>
          <c:x val="6.0776849915142914E-2"/>
          <c:y val="2.740832979203521E-2"/>
          <c:w val="0.93066781681889099"/>
          <c:h val="0.8970710993836496"/>
        </c:manualLayout>
      </c:layout>
      <c:lineChart>
        <c:grouping val="standard"/>
        <c:ser>
          <c:idx val="0"/>
          <c:order val="0"/>
          <c:tx>
            <c:v>Tulo</c:v>
          </c:tx>
          <c:spPr>
            <a:ln>
              <a:solidFill>
                <a:srgbClr val="FF0000"/>
              </a:solidFill>
            </a:ln>
          </c:spPr>
          <c:marker>
            <c:symbol val="none"/>
          </c:marker>
          <c:val>
            <c:numRef>
              <c:f>Data!$AF$400:$AF$450</c:f>
              <c:numCache>
                <c:formatCode>0.0</c:formatCode>
                <c:ptCount val="51"/>
                <c:pt idx="0">
                  <c:v>22.6</c:v>
                </c:pt>
                <c:pt idx="1">
                  <c:v>22.7</c:v>
                </c:pt>
                <c:pt idx="2">
                  <c:v>22.7</c:v>
                </c:pt>
                <c:pt idx="3">
                  <c:v>22.7</c:v>
                </c:pt>
                <c:pt idx="4">
                  <c:v>4.5</c:v>
                </c:pt>
                <c:pt idx="5">
                  <c:v>5.3</c:v>
                </c:pt>
                <c:pt idx="6">
                  <c:v>5.3</c:v>
                </c:pt>
                <c:pt idx="7">
                  <c:v>5.4</c:v>
                </c:pt>
                <c:pt idx="8">
                  <c:v>5.6</c:v>
                </c:pt>
                <c:pt idx="9">
                  <c:v>5.9</c:v>
                </c:pt>
                <c:pt idx="10">
                  <c:v>6</c:v>
                </c:pt>
                <c:pt idx="11">
                  <c:v>6.1</c:v>
                </c:pt>
                <c:pt idx="12">
                  <c:v>6.2</c:v>
                </c:pt>
                <c:pt idx="13">
                  <c:v>6.2</c:v>
                </c:pt>
                <c:pt idx="14">
                  <c:v>6.2</c:v>
                </c:pt>
                <c:pt idx="15">
                  <c:v>6.1</c:v>
                </c:pt>
                <c:pt idx="16">
                  <c:v>6.1</c:v>
                </c:pt>
                <c:pt idx="17">
                  <c:v>6</c:v>
                </c:pt>
                <c:pt idx="18">
                  <c:v>5.9</c:v>
                </c:pt>
                <c:pt idx="19">
                  <c:v>5.9</c:v>
                </c:pt>
                <c:pt idx="20">
                  <c:v>5.9</c:v>
                </c:pt>
                <c:pt idx="21">
                  <c:v>5.9</c:v>
                </c:pt>
                <c:pt idx="22">
                  <c:v>5.7</c:v>
                </c:pt>
                <c:pt idx="23">
                  <c:v>5.5</c:v>
                </c:pt>
                <c:pt idx="24">
                  <c:v>5.2</c:v>
                </c:pt>
                <c:pt idx="25">
                  <c:v>5.0999999999999996</c:v>
                </c:pt>
                <c:pt idx="26">
                  <c:v>5</c:v>
                </c:pt>
                <c:pt idx="27">
                  <c:v>4.9000000000000004</c:v>
                </c:pt>
                <c:pt idx="28">
                  <c:v>4.9000000000000004</c:v>
                </c:pt>
                <c:pt idx="29">
                  <c:v>4.9000000000000004</c:v>
                </c:pt>
                <c:pt idx="30">
                  <c:v>4.9000000000000004</c:v>
                </c:pt>
                <c:pt idx="31">
                  <c:v>4.9000000000000004</c:v>
                </c:pt>
                <c:pt idx="32">
                  <c:v>5.3</c:v>
                </c:pt>
                <c:pt idx="33">
                  <c:v>5.8</c:v>
                </c:pt>
                <c:pt idx="34">
                  <c:v>6.2</c:v>
                </c:pt>
                <c:pt idx="35">
                  <c:v>6.5</c:v>
                </c:pt>
                <c:pt idx="36">
                  <c:v>6.8</c:v>
                </c:pt>
                <c:pt idx="37">
                  <c:v>7.2</c:v>
                </c:pt>
                <c:pt idx="38">
                  <c:v>7.6</c:v>
                </c:pt>
                <c:pt idx="39">
                  <c:v>7.9</c:v>
                </c:pt>
                <c:pt idx="40">
                  <c:v>8.3000000000000007</c:v>
                </c:pt>
                <c:pt idx="41">
                  <c:v>8.7000000000000011</c:v>
                </c:pt>
                <c:pt idx="42">
                  <c:v>9</c:v>
                </c:pt>
                <c:pt idx="43">
                  <c:v>9.3000000000000007</c:v>
                </c:pt>
                <c:pt idx="44">
                  <c:v>9.6</c:v>
                </c:pt>
                <c:pt idx="45">
                  <c:v>9.9</c:v>
                </c:pt>
                <c:pt idx="46">
                  <c:v>10.200000000000001</c:v>
                </c:pt>
                <c:pt idx="47">
                  <c:v>10.4</c:v>
                </c:pt>
                <c:pt idx="48">
                  <c:v>10.7</c:v>
                </c:pt>
                <c:pt idx="49">
                  <c:v>10.9</c:v>
                </c:pt>
                <c:pt idx="50">
                  <c:v>11.3</c:v>
                </c:pt>
              </c:numCache>
            </c:numRef>
          </c:val>
        </c:ser>
        <c:ser>
          <c:idx val="1"/>
          <c:order val="1"/>
          <c:tx>
            <c:v>Paluu</c:v>
          </c:tx>
          <c:spPr>
            <a:ln>
              <a:solidFill>
                <a:srgbClr val="00B0F0"/>
              </a:solidFill>
            </a:ln>
          </c:spPr>
          <c:marker>
            <c:symbol val="none"/>
          </c:marker>
          <c:val>
            <c:numRef>
              <c:f>Data!$AG$400:$AG$450</c:f>
              <c:numCache>
                <c:formatCode>0.0</c:formatCode>
                <c:ptCount val="51"/>
                <c:pt idx="0">
                  <c:v>17.2</c:v>
                </c:pt>
                <c:pt idx="1">
                  <c:v>17.2</c:v>
                </c:pt>
                <c:pt idx="2">
                  <c:v>17.2</c:v>
                </c:pt>
                <c:pt idx="3">
                  <c:v>17.3</c:v>
                </c:pt>
                <c:pt idx="4">
                  <c:v>15.7</c:v>
                </c:pt>
                <c:pt idx="5">
                  <c:v>4.8</c:v>
                </c:pt>
                <c:pt idx="6">
                  <c:v>1.9000000000000001</c:v>
                </c:pt>
                <c:pt idx="7">
                  <c:v>1.4</c:v>
                </c:pt>
                <c:pt idx="8">
                  <c:v>1.4</c:v>
                </c:pt>
                <c:pt idx="9">
                  <c:v>1.7</c:v>
                </c:pt>
                <c:pt idx="10">
                  <c:v>1.8</c:v>
                </c:pt>
                <c:pt idx="11">
                  <c:v>2</c:v>
                </c:pt>
                <c:pt idx="12">
                  <c:v>2.1</c:v>
                </c:pt>
                <c:pt idx="13">
                  <c:v>2.1</c:v>
                </c:pt>
                <c:pt idx="14">
                  <c:v>2.2000000000000002</c:v>
                </c:pt>
                <c:pt idx="15">
                  <c:v>2.2000000000000002</c:v>
                </c:pt>
                <c:pt idx="16">
                  <c:v>2.2000000000000002</c:v>
                </c:pt>
                <c:pt idx="17">
                  <c:v>2.2000000000000002</c:v>
                </c:pt>
                <c:pt idx="18">
                  <c:v>2.2000000000000002</c:v>
                </c:pt>
                <c:pt idx="19">
                  <c:v>2.2000000000000002</c:v>
                </c:pt>
                <c:pt idx="20">
                  <c:v>2.2000000000000002</c:v>
                </c:pt>
                <c:pt idx="21">
                  <c:v>2.2000000000000002</c:v>
                </c:pt>
                <c:pt idx="22">
                  <c:v>2.2999999999999998</c:v>
                </c:pt>
                <c:pt idx="23">
                  <c:v>2.1</c:v>
                </c:pt>
                <c:pt idx="24">
                  <c:v>1.9000000000000001</c:v>
                </c:pt>
                <c:pt idx="25">
                  <c:v>1.9000000000000001</c:v>
                </c:pt>
                <c:pt idx="26">
                  <c:v>1.8</c:v>
                </c:pt>
                <c:pt idx="27">
                  <c:v>1.8</c:v>
                </c:pt>
                <c:pt idx="28">
                  <c:v>1.8</c:v>
                </c:pt>
                <c:pt idx="29">
                  <c:v>1.8</c:v>
                </c:pt>
                <c:pt idx="30">
                  <c:v>1.8</c:v>
                </c:pt>
                <c:pt idx="31">
                  <c:v>3</c:v>
                </c:pt>
                <c:pt idx="32">
                  <c:v>4.7</c:v>
                </c:pt>
                <c:pt idx="33">
                  <c:v>5.3</c:v>
                </c:pt>
                <c:pt idx="34">
                  <c:v>5.6</c:v>
                </c:pt>
                <c:pt idx="35">
                  <c:v>5.9</c:v>
                </c:pt>
                <c:pt idx="36">
                  <c:v>6.3</c:v>
                </c:pt>
                <c:pt idx="37">
                  <c:v>6.9</c:v>
                </c:pt>
                <c:pt idx="38">
                  <c:v>7.5</c:v>
                </c:pt>
                <c:pt idx="39">
                  <c:v>8</c:v>
                </c:pt>
                <c:pt idx="40">
                  <c:v>8.7000000000000011</c:v>
                </c:pt>
                <c:pt idx="41">
                  <c:v>9.1</c:v>
                </c:pt>
                <c:pt idx="42">
                  <c:v>9.5</c:v>
                </c:pt>
                <c:pt idx="43">
                  <c:v>9.9</c:v>
                </c:pt>
                <c:pt idx="44">
                  <c:v>10.200000000000001</c:v>
                </c:pt>
                <c:pt idx="45">
                  <c:v>10.3</c:v>
                </c:pt>
                <c:pt idx="46">
                  <c:v>10.4</c:v>
                </c:pt>
                <c:pt idx="47">
                  <c:v>10.6</c:v>
                </c:pt>
                <c:pt idx="48">
                  <c:v>10.6</c:v>
                </c:pt>
                <c:pt idx="49">
                  <c:v>10.7</c:v>
                </c:pt>
                <c:pt idx="50">
                  <c:v>10.7</c:v>
                </c:pt>
              </c:numCache>
            </c:numRef>
          </c:val>
        </c:ser>
        <c:ser>
          <c:idx val="2"/>
          <c:order val="2"/>
          <c:tx>
            <c:v>Ero</c:v>
          </c:tx>
          <c:spPr>
            <a:ln w="22225">
              <a:solidFill>
                <a:schemeClr val="tx1"/>
              </a:solidFill>
              <a:prstDash val="sysDash"/>
            </a:ln>
          </c:spPr>
          <c:marker>
            <c:symbol val="none"/>
          </c:marker>
          <c:val>
            <c:numRef>
              <c:f>Data!$AP$400:$AP$450</c:f>
              <c:numCache>
                <c:formatCode>0.0</c:formatCode>
                <c:ptCount val="51"/>
                <c:pt idx="0">
                  <c:v>3.5</c:v>
                </c:pt>
                <c:pt idx="1">
                  <c:v>3.4</c:v>
                </c:pt>
                <c:pt idx="2">
                  <c:v>3.1999999999999997</c:v>
                </c:pt>
                <c:pt idx="3">
                  <c:v>3.3000000000000003</c:v>
                </c:pt>
                <c:pt idx="4">
                  <c:v>3.2</c:v>
                </c:pt>
                <c:pt idx="5">
                  <c:v>3.2</c:v>
                </c:pt>
                <c:pt idx="6">
                  <c:v>3.4</c:v>
                </c:pt>
                <c:pt idx="7">
                  <c:v>4</c:v>
                </c:pt>
                <c:pt idx="8">
                  <c:v>4.1999999999999984</c:v>
                </c:pt>
                <c:pt idx="9">
                  <c:v>4.2</c:v>
                </c:pt>
                <c:pt idx="10">
                  <c:v>4.2</c:v>
                </c:pt>
                <c:pt idx="11">
                  <c:v>4.0999999999999996</c:v>
                </c:pt>
                <c:pt idx="12">
                  <c:v>4.0999999999999996</c:v>
                </c:pt>
                <c:pt idx="13">
                  <c:v>4.0999999999999996</c:v>
                </c:pt>
                <c:pt idx="14">
                  <c:v>4</c:v>
                </c:pt>
                <c:pt idx="15">
                  <c:v>3.899999999999999</c:v>
                </c:pt>
                <c:pt idx="16">
                  <c:v>3.899999999999999</c:v>
                </c:pt>
                <c:pt idx="17">
                  <c:v>3.8</c:v>
                </c:pt>
                <c:pt idx="18">
                  <c:v>3.7</c:v>
                </c:pt>
                <c:pt idx="19">
                  <c:v>3.7</c:v>
                </c:pt>
                <c:pt idx="20">
                  <c:v>3.7</c:v>
                </c:pt>
                <c:pt idx="21">
                  <c:v>3.7</c:v>
                </c:pt>
                <c:pt idx="22">
                  <c:v>3.4000000000000004</c:v>
                </c:pt>
                <c:pt idx="23">
                  <c:v>3.4</c:v>
                </c:pt>
                <c:pt idx="24">
                  <c:v>3.3000000000000003</c:v>
                </c:pt>
                <c:pt idx="25">
                  <c:v>3.1999999999999997</c:v>
                </c:pt>
                <c:pt idx="26">
                  <c:v>3.2</c:v>
                </c:pt>
                <c:pt idx="27">
                  <c:v>3.1000000000000005</c:v>
                </c:pt>
                <c:pt idx="28">
                  <c:v>3.1000000000000005</c:v>
                </c:pt>
                <c:pt idx="29">
                  <c:v>3.1000000000000005</c:v>
                </c:pt>
                <c:pt idx="30">
                  <c:v>3.1000000000000005</c:v>
                </c:pt>
                <c:pt idx="31">
                  <c:v>0</c:v>
                </c:pt>
                <c:pt idx="32">
                  <c:v>0</c:v>
                </c:pt>
                <c:pt idx="33">
                  <c:v>0</c:v>
                </c:pt>
                <c:pt idx="34">
                  <c:v>0</c:v>
                </c:pt>
                <c:pt idx="35">
                  <c:v>0</c:v>
                </c:pt>
                <c:pt idx="36">
                  <c:v>0</c:v>
                </c:pt>
                <c:pt idx="37">
                  <c:v>0</c:v>
                </c:pt>
                <c:pt idx="38">
                  <c:v>0</c:v>
                </c:pt>
                <c:pt idx="39">
                  <c:v>0</c:v>
                </c:pt>
                <c:pt idx="40">
                  <c:v>0</c:v>
                </c:pt>
                <c:pt idx="41">
                  <c:v>0</c:v>
                </c:pt>
                <c:pt idx="42">
                  <c:v>0</c:v>
                </c:pt>
                <c:pt idx="43">
                  <c:v>0</c:v>
                </c:pt>
                <c:pt idx="44">
                  <c:v>0</c:v>
                </c:pt>
                <c:pt idx="45">
                  <c:v>0</c:v>
                </c:pt>
                <c:pt idx="46">
                  <c:v>0</c:v>
                </c:pt>
                <c:pt idx="47">
                  <c:v>0</c:v>
                </c:pt>
                <c:pt idx="48">
                  <c:v>0</c:v>
                </c:pt>
                <c:pt idx="49">
                  <c:v>0</c:v>
                </c:pt>
                <c:pt idx="50">
                  <c:v>0</c:v>
                </c:pt>
              </c:numCache>
            </c:numRef>
          </c:val>
        </c:ser>
        <c:marker val="1"/>
        <c:axId val="129249280"/>
        <c:axId val="129250816"/>
      </c:lineChart>
      <c:catAx>
        <c:axId val="129249280"/>
        <c:scaling>
          <c:orientation val="minMax"/>
        </c:scaling>
        <c:axPos val="b"/>
        <c:tickLblPos val="nextTo"/>
        <c:txPr>
          <a:bodyPr rot="-5400000" vert="horz"/>
          <a:lstStyle/>
          <a:p>
            <a:pPr>
              <a:defRPr/>
            </a:pPr>
            <a:endParaRPr lang="fi-FI"/>
          </a:p>
        </c:txPr>
        <c:crossAx val="129250816"/>
        <c:crosses val="autoZero"/>
        <c:auto val="1"/>
        <c:lblAlgn val="ctr"/>
        <c:lblOffset val="100"/>
        <c:tickMarkSkip val="2"/>
      </c:catAx>
      <c:valAx>
        <c:axId val="129250816"/>
        <c:scaling>
          <c:orientation val="minMax"/>
          <c:max val="8"/>
        </c:scaling>
        <c:axPos val="l"/>
        <c:majorGridlines/>
        <c:numFmt formatCode="0.0" sourceLinked="1"/>
        <c:tickLblPos val="nextTo"/>
        <c:crossAx val="12924928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8578253449515068"/>
          <c:y val="0.56467349231291264"/>
          <c:w val="8.2355332684866514E-2"/>
          <c:h val="0.1134794983545315"/>
        </c:manualLayout>
      </c:layout>
    </c:legend>
    <c:plotVisOnly val="1"/>
  </c:chart>
  <c:externalData r:id="rId1"/>
  <c:userShapes r:id="rId2"/>
</c:chartSpace>
</file>

<file path=word/drawing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</cdr:x>
      <cdr:y>0</cdr:y>
    </cdr:from>
    <cdr:to>
      <cdr:x>0.00262</cdr:x>
      <cdr:y>0.00402</cdr:y>
    </cdr:to>
    <cdr:pic>
      <cdr:nvPicPr>
        <cdr:cNvPr id="3" name="chart"/>
        <cdr:cNvPicPr>
          <a:picLocks xmlns:a="http://schemas.openxmlformats.org/drawingml/2006/main" noChangeAspect="1"/>
        </cdr:cNvPicPr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0" y="0"/>
          <a:ext cx="24386" cy="24386"/>
        </a:xfrm>
        <a:prstGeom xmlns:a="http://schemas.openxmlformats.org/drawingml/2006/main" prst="rect">
          <a:avLst/>
        </a:prstGeom>
      </cdr:spPr>
    </cdr:pic>
  </cdr:relSizeAnchor>
  <cdr:relSizeAnchor xmlns:cdr="http://schemas.openxmlformats.org/drawingml/2006/chartDrawing">
    <cdr:from>
      <cdr:x>0.26712</cdr:x>
      <cdr:y>0.05705</cdr:y>
    </cdr:from>
    <cdr:to>
      <cdr:x>0.69844</cdr:x>
      <cdr:y>0.19298</cdr:y>
    </cdr:to>
    <cdr:sp macro="" textlink="">
      <cdr:nvSpPr>
        <cdr:cNvPr id="4" name="TextBox 1"/>
        <cdr:cNvSpPr txBox="1"/>
      </cdr:nvSpPr>
      <cdr:spPr>
        <a:xfrm xmlns:a="http://schemas.openxmlformats.org/drawingml/2006/main">
          <a:off x="2482273" y="346364"/>
          <a:ext cx="4008120" cy="825261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none" rtlCol="0"/>
        <a:lstStyle xmlns:a="http://schemas.openxmlformats.org/drawingml/2006/main">
          <a:lvl1pPr marL="0" indent="0">
            <a:defRPr sz="1100">
              <a:latin typeface="Calibri"/>
            </a:defRPr>
          </a:lvl1pPr>
          <a:lvl2pPr marL="457200" indent="0">
            <a:defRPr sz="1100">
              <a:latin typeface="Calibri"/>
            </a:defRPr>
          </a:lvl2pPr>
          <a:lvl3pPr marL="914400" indent="0">
            <a:defRPr sz="1100">
              <a:latin typeface="Calibri"/>
            </a:defRPr>
          </a:lvl3pPr>
          <a:lvl4pPr marL="1371600" indent="0">
            <a:defRPr sz="1100">
              <a:latin typeface="Calibri"/>
            </a:defRPr>
          </a:lvl4pPr>
          <a:lvl5pPr marL="1828800" indent="0">
            <a:defRPr sz="1100">
              <a:latin typeface="Calibri"/>
            </a:defRPr>
          </a:lvl5pPr>
          <a:lvl6pPr marL="2286000" indent="0">
            <a:defRPr sz="1100">
              <a:latin typeface="Calibri"/>
            </a:defRPr>
          </a:lvl6pPr>
          <a:lvl7pPr marL="2743200" indent="0">
            <a:defRPr sz="1100">
              <a:latin typeface="Calibri"/>
            </a:defRPr>
          </a:lvl7pPr>
          <a:lvl8pPr marL="3200400" indent="0">
            <a:defRPr sz="1100">
              <a:latin typeface="Calibri"/>
            </a:defRPr>
          </a:lvl8pPr>
          <a:lvl9pPr marL="3657600" indent="0">
            <a:defRPr sz="1100">
              <a:latin typeface="Calibri"/>
            </a:defRPr>
          </a:lvl9pPr>
        </a:lstStyle>
        <a:p xmlns:a="http://schemas.openxmlformats.org/drawingml/2006/main">
          <a:r>
            <a:rPr lang="fi-FI" sz="1000">
              <a:latin typeface="Cambria"/>
            </a:rPr>
            <a:t>NIBE 1245-8	2013-11-26	Turku</a:t>
          </a:r>
        </a:p>
        <a:p xmlns:a="http://schemas.openxmlformats.org/drawingml/2006/main">
          <a:r>
            <a:rPr lang="fi-FI" sz="1000">
              <a:latin typeface="Cambria"/>
            </a:rPr>
            <a:t>Keruulämpötilat yhden käyntijakson aikana. </a:t>
          </a:r>
          <a:br>
            <a:rPr lang="fi-FI" sz="1000">
              <a:latin typeface="Cambria"/>
            </a:rPr>
          </a:br>
          <a:r>
            <a:rPr lang="fi-FI" sz="1000">
              <a:latin typeface="Cambria"/>
            </a:rPr>
            <a:t>Ulkolämpötila n. +2°C, käyntijakso 20 min. (lämmitys)</a:t>
          </a:r>
          <a:br>
            <a:rPr lang="fi-FI" sz="1000">
              <a:latin typeface="Cambria"/>
            </a:rPr>
          </a:br>
          <a:r>
            <a:rPr lang="fi-FI" sz="1000">
              <a:latin typeface="Cambria"/>
            </a:rPr>
            <a:t>Kaivo 200/180 m, patterilämmitys+lattia+UKV-100, 250 m², rv 1980</a:t>
          </a:r>
          <a:br>
            <a:rPr lang="fi-FI" sz="1000">
              <a:latin typeface="Cambria"/>
            </a:rPr>
          </a:br>
          <a:r>
            <a:rPr lang="fi-FI" sz="1000">
              <a:latin typeface="Cambria"/>
            </a:rPr>
            <a:t/>
          </a:r>
          <a:br>
            <a:rPr lang="fi-FI" sz="1000">
              <a:latin typeface="Cambria"/>
            </a:rPr>
          </a:br>
          <a:r>
            <a:rPr lang="fi-FI" sz="1000">
              <a:latin typeface="Cambria"/>
            </a:rPr>
            <a:t/>
          </a:r>
          <a:br>
            <a:rPr lang="fi-FI" sz="1000">
              <a:latin typeface="Cambria"/>
            </a:rPr>
          </a:br>
          <a:r>
            <a:rPr lang="fi-FI" sz="1000">
              <a:latin typeface="Cambria"/>
            </a:rPr>
            <a:t/>
          </a:r>
          <a:br>
            <a:rPr lang="fi-FI" sz="1000">
              <a:latin typeface="Cambria"/>
            </a:rPr>
          </a:br>
          <a:r>
            <a:rPr lang="fi-FI" sz="1000">
              <a:latin typeface="Cambria"/>
            </a:rPr>
            <a:t/>
          </a:r>
          <a:br>
            <a:rPr lang="fi-FI" sz="1000">
              <a:latin typeface="Cambria"/>
            </a:rPr>
          </a:br>
          <a:endParaRPr lang="fi-FI" sz="1000">
            <a:latin typeface="Cambria"/>
          </a:endParaRPr>
        </a:p>
      </cdr:txBody>
    </cdr:sp>
  </cdr:relSizeAnchor>
  <cdr:relSizeAnchor xmlns:cdr="http://schemas.openxmlformats.org/drawingml/2006/chartDrawing">
    <cdr:from>
      <cdr:x>0.1435</cdr:x>
      <cdr:y>0.20348</cdr:y>
    </cdr:from>
    <cdr:to>
      <cdr:x>0.45411</cdr:x>
      <cdr:y>0.92516</cdr:y>
    </cdr:to>
    <cdr:sp macro="" textlink="">
      <cdr:nvSpPr>
        <cdr:cNvPr id="5" name="Rectangle 4"/>
        <cdr:cNvSpPr/>
      </cdr:nvSpPr>
      <cdr:spPr>
        <a:xfrm xmlns:a="http://schemas.openxmlformats.org/drawingml/2006/main">
          <a:off x="1333500" y="1235363"/>
          <a:ext cx="2886363" cy="4381500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 w="3175">
          <a:solidFill>
            <a:srgbClr val="7030A0"/>
          </a:solidFill>
          <a:prstDash val="solid"/>
        </a:ln>
      </cdr:spPr>
      <cdr:style>
        <a:lnRef xmlns:a="http://schemas.openxmlformats.org/drawingml/2006/main" idx="2">
          <a:schemeClr val="accent1">
            <a:shade val="50000"/>
          </a:schemeClr>
        </a:lnRef>
        <a:fillRef xmlns:a="http://schemas.openxmlformats.org/drawingml/2006/main" idx="1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lt1"/>
        </a:fontRef>
      </cdr:style>
      <cdr:txBody>
        <a:bodyPr xmlns:a="http://schemas.openxmlformats.org/drawingml/2006/main" vertOverflow="clip"/>
        <a:lstStyle xmlns:a="http://schemas.openxmlformats.org/drawingml/2006/main"/>
        <a:p xmlns:a="http://schemas.openxmlformats.org/drawingml/2006/main">
          <a:endParaRPr lang="fi-FI"/>
        </a:p>
      </cdr:txBody>
    </cdr:sp>
  </cdr:relSizeAnchor>
  <cdr:relSizeAnchor xmlns:cdr="http://schemas.openxmlformats.org/drawingml/2006/chartDrawing">
    <cdr:from>
      <cdr:x>0.16897</cdr:x>
      <cdr:y>0.87382</cdr:y>
    </cdr:from>
    <cdr:to>
      <cdr:x>0.40752</cdr:x>
      <cdr:y>0.91946</cdr:y>
    </cdr:to>
    <cdr:sp macro="" textlink="">
      <cdr:nvSpPr>
        <cdr:cNvPr id="6" name="TextBox 5"/>
        <cdr:cNvSpPr txBox="1"/>
      </cdr:nvSpPr>
      <cdr:spPr>
        <a:xfrm xmlns:a="http://schemas.openxmlformats.org/drawingml/2006/main">
          <a:off x="1570182" y="5305136"/>
          <a:ext cx="2216728" cy="277091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r>
            <a:rPr lang="fi-FI" sz="1100" i="1">
              <a:solidFill>
                <a:srgbClr val="7030A0"/>
              </a:solidFill>
            </a:rPr>
            <a:t>LK  nesteen kierron</a:t>
          </a:r>
          <a:r>
            <a:rPr lang="fi-FI" sz="1100" i="1" baseline="0">
              <a:solidFill>
                <a:srgbClr val="7030A0"/>
              </a:solidFill>
            </a:rPr>
            <a:t> aika 17 min.</a:t>
          </a:r>
          <a:endParaRPr lang="fi-FI" sz="1100" i="1">
            <a:solidFill>
              <a:srgbClr val="7030A0"/>
            </a:solidFill>
          </a:endParaRPr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joka</dc:creator>
  <cp:lastModifiedBy>joka</cp:lastModifiedBy>
  <cp:revision>1</cp:revision>
  <dcterms:created xsi:type="dcterms:W3CDTF">2013-11-29T09:28:00Z</dcterms:created>
  <dcterms:modified xsi:type="dcterms:W3CDTF">2013-11-29T09:29:00Z</dcterms:modified>
</cp:coreProperties>
</file>